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w:t>
      </w:r>
      <w:bookmarkStart w:id="5" w:name="_GoBack"/>
      <w:bookmarkEnd w:id="5"/>
      <w:bookmarkStart w:id="0" w:name="_Toc21239"/>
    </w:p>
    <w:p>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pPr>
        <w:pStyle w:val="7"/>
        <w:ind w:firstLine="402"/>
        <w:rPr>
          <w:rFonts w:ascii="宋体" w:hAnsi="宋体" w:cs="宋体"/>
          <w:b/>
          <w:bCs/>
          <w:sz w:val="20"/>
          <w:szCs w:val="20"/>
          <w:lang w:eastAsia="zh-CN"/>
        </w:rPr>
      </w:pPr>
    </w:p>
    <w:p>
      <w:pPr>
        <w:pStyle w:val="2"/>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pPr>
        <w:pStyle w:val="2"/>
        <w:rPr>
          <w:sz w:val="24"/>
          <w:szCs w:val="24"/>
        </w:rPr>
      </w:pPr>
    </w:p>
    <w:p>
      <w:pPr>
        <w:pStyle w:val="2"/>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2"/>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2"/>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pPr>
        <w:pStyle w:val="2"/>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2"/>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pPr>
        <w:pStyle w:val="20"/>
        <w:jc w:val="both"/>
        <w:outlineLvl w:val="9"/>
        <w:rPr>
          <w:rFonts w:hint="eastAsia" w:cs="宋体"/>
          <w:bCs/>
          <w:sz w:val="21"/>
          <w:szCs w:val="21"/>
          <w:lang w:eastAsia="zh-CN"/>
        </w:rPr>
      </w:pPr>
    </w:p>
    <w:p>
      <w:pPr>
        <w:pStyle w:val="20"/>
        <w:jc w:val="both"/>
        <w:outlineLvl w:val="9"/>
        <w:rPr>
          <w:rFonts w:hint="eastAsia" w:cs="宋体"/>
          <w:bCs/>
          <w:sz w:val="21"/>
          <w:szCs w:val="21"/>
          <w:lang w:eastAsia="zh-CN"/>
        </w:rPr>
      </w:pPr>
    </w:p>
    <w:p>
      <w:pPr>
        <w:rPr>
          <w:rFonts w:hint="eastAsia" w:ascii="宋体" w:hAnsi="宋体" w:cs="宋体"/>
          <w:sz w:val="21"/>
          <w:szCs w:val="21"/>
          <w:lang w:eastAsia="zh-CN"/>
        </w:rPr>
      </w:pPr>
    </w:p>
    <w:p>
      <w:pPr>
        <w:rPr>
          <w:rFonts w:hint="eastAsia" w:ascii="宋体" w:hAnsi="宋体" w:eastAsia="宋体" w:cs="宋体"/>
          <w:spacing w:val="1"/>
          <w:sz w:val="24"/>
          <w:szCs w:val="24"/>
          <w:lang w:eastAsia="zh-CN"/>
        </w:rPr>
      </w:pPr>
      <w:bookmarkStart w:id="1" w:name="_Toc15269"/>
      <w:bookmarkStart w:id="2" w:name="_Toc26172"/>
      <w:bookmarkStart w:id="3" w:name="_Toc31601"/>
      <w:bookmarkStart w:id="4" w:name="_Toc473"/>
      <w:r>
        <w:rPr>
          <w:rFonts w:hint="eastAsia" w:ascii="宋体" w:hAnsi="宋体" w:eastAsia="宋体" w:cs="宋体"/>
          <w:spacing w:val="1"/>
          <w:sz w:val="24"/>
          <w:szCs w:val="24"/>
          <w:lang w:eastAsia="zh-CN"/>
        </w:rPr>
        <w:br w:type="page"/>
      </w:r>
    </w:p>
    <w:bookmarkEnd w:id="1"/>
    <w:bookmarkEnd w:id="2"/>
    <w:bookmarkEnd w:id="3"/>
    <w:bookmarkEnd w:id="4"/>
    <w:p>
      <w:pPr>
        <w:pStyle w:val="4"/>
        <w:numPr>
          <w:ilvl w:val="0"/>
          <w:numId w:val="0"/>
        </w:numPr>
        <w:spacing w:line="396" w:lineRule="exact"/>
        <w:jc w:val="center"/>
        <w:rPr>
          <w:rFonts w:hint="eastAsia" w:ascii="宋体" w:hAnsi="宋体" w:eastAsia="宋体" w:cs="宋体"/>
          <w:spacing w:val="1"/>
          <w:sz w:val="30"/>
          <w:szCs w:val="30"/>
          <w:lang w:eastAsia="zh-CN"/>
        </w:rPr>
      </w:pPr>
    </w:p>
    <w:p>
      <w:pPr>
        <w:pStyle w:val="4"/>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pPr>
        <w:spacing w:before="9"/>
        <w:rPr>
          <w:rFonts w:hint="eastAsia" w:ascii="宋体" w:hAnsi="宋体" w:cs="宋体"/>
          <w:sz w:val="21"/>
          <w:szCs w:val="21"/>
          <w:lang w:eastAsia="zh-CN"/>
        </w:rPr>
      </w:pPr>
    </w:p>
    <w:p>
      <w:pPr>
        <w:pStyle w:val="2"/>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pPr>
        <w:pStyle w:val="2"/>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2"/>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pPr>
        <w:pStyle w:val="2"/>
        <w:spacing w:before="185"/>
        <w:ind w:left="581"/>
        <w:rPr>
          <w:rFonts w:hint="eastAsia" w:cs="宋体"/>
          <w:sz w:val="24"/>
          <w:szCs w:val="24"/>
          <w:lang w:eastAsia="zh-CN"/>
        </w:rPr>
      </w:pPr>
      <w:r>
        <w:rPr>
          <w:rFonts w:hint="eastAsia" w:cs="宋体"/>
          <w:sz w:val="24"/>
          <w:szCs w:val="24"/>
          <w:lang w:eastAsia="zh-CN"/>
        </w:rPr>
        <w:t>特此证明。</w:t>
      </w:r>
    </w:p>
    <w:p>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1" w:hRule="atLeast"/>
        </w:trPr>
        <w:tc>
          <w:tcPr>
            <w:tcW w:w="4514"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pPr>
        <w:spacing w:before="3"/>
        <w:rPr>
          <w:rFonts w:hint="eastAsia" w:ascii="宋体" w:hAnsi="宋体" w:cs="宋体"/>
          <w:sz w:val="24"/>
          <w:szCs w:val="24"/>
          <w:lang w:eastAsia="zh-CN"/>
        </w:rPr>
      </w:pPr>
    </w:p>
    <w:p>
      <w:pPr>
        <w:pStyle w:val="2"/>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pPr>
        <w:rPr>
          <w:rFonts w:hint="eastAsia" w:ascii="宋体" w:hAnsi="宋体" w:cs="宋体"/>
          <w:sz w:val="24"/>
          <w:szCs w:val="24"/>
          <w:lang w:eastAsia="zh-CN"/>
        </w:rPr>
      </w:pPr>
    </w:p>
    <w:p>
      <w:pPr>
        <w:pStyle w:val="2"/>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pPr>
        <w:rPr>
          <w:rFonts w:ascii="宋体" w:hAnsi="宋体" w:cs="宋体"/>
          <w:sz w:val="24"/>
          <w:szCs w:val="24"/>
          <w:lang w:eastAsia="zh-CN"/>
        </w:rPr>
      </w:pPr>
    </w:p>
    <w:p>
      <w:pPr>
        <w:rPr>
          <w:rFonts w:ascii="宋体" w:hAnsi="宋体" w:cs="宋体"/>
          <w:sz w:val="24"/>
          <w:szCs w:val="24"/>
          <w:lang w:eastAsia="zh-CN"/>
        </w:rPr>
      </w:pPr>
    </w:p>
    <w:p>
      <w:pPr>
        <w:rPr>
          <w:rFonts w:hint="default"/>
          <w:lang w:val="en-US" w:eastAsia="zh-CN"/>
        </w:rPr>
      </w:pPr>
    </w:p>
    <w:p>
      <w:pPr>
        <w:rPr>
          <w:rFonts w:hint="eastAsia"/>
          <w:b/>
          <w:bCs/>
          <w:sz w:val="32"/>
          <w:szCs w:val="32"/>
          <w:lang w:val="en-US" w:eastAsia="zh-CN"/>
        </w:rPr>
      </w:pPr>
      <w:r>
        <w:rPr>
          <w:rFonts w:hint="eastAsia"/>
          <w:b/>
          <w:bCs/>
          <w:sz w:val="32"/>
          <w:szCs w:val="32"/>
          <w:lang w:val="en-US" w:eastAsia="zh-CN"/>
        </w:rPr>
        <w:br w:type="page"/>
      </w: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(第一标段：工程造价咨询）</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spacing w:line="240" w:lineRule="atLeast"/>
        <w:ind w:right="-65" w:rightChars="-31"/>
        <w:jc w:val="center"/>
        <w:rPr>
          <w:rFonts w:hint="default"/>
          <w:b/>
          <w:bCs/>
          <w:sz w:val="32"/>
          <w:szCs w:val="32"/>
          <w:lang w:val="en-US" w:eastAsia="zh-CN"/>
        </w:rPr>
        <w:sectPr>
          <w:footerReference r:id="rId3" w:type="default"/>
          <w:pgSz w:w="11906" w:h="16838"/>
          <w:pgMar w:top="1440" w:right="1417" w:bottom="1440" w:left="1417" w:header="851" w:footer="992" w:gutter="0"/>
          <w:cols w:space="425" w:num="1"/>
          <w:docGrid w:type="lines" w:linePitch="312" w:charSpace="0"/>
        </w:sect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(第二标段：工程监理）</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4.同时具备行政主管部门颁发的房屋建筑工程、市政公用工程监理乙级及以上资质。</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pStyle w:val="2"/>
        <w:rPr>
          <w:rFonts w:hint="default"/>
          <w:lang w:val="en-US" w:eastAsia="zh-CN"/>
        </w:rPr>
        <w:sectPr>
          <w:pgSz w:w="11906" w:h="16838"/>
          <w:pgMar w:top="1440" w:right="1417" w:bottom="1440" w:left="1417" w:header="851" w:footer="992" w:gutter="0"/>
          <w:cols w:space="425" w:num="1"/>
          <w:docGrid w:type="lines" w:linePitch="312" w:charSpace="0"/>
        </w:sect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(第三标段：工程监理）</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4.具有行政主管部门颁发的水利水电工程或水利工程监理乙级及以上资质。</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rPr>
          <w:rFonts w:hint="default"/>
          <w:lang w:val="en-US" w:eastAsia="zh-CN"/>
        </w:rPr>
        <w:sectPr>
          <w:pgSz w:w="11906" w:h="16838"/>
          <w:pgMar w:top="1440" w:right="1417" w:bottom="1440" w:left="1417" w:header="851" w:footer="992" w:gutter="0"/>
          <w:cols w:space="425" w:num="1"/>
          <w:docGrid w:type="lines" w:linePitch="312" w:charSpace="0"/>
        </w:sect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(第四标段：工程测绘）</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4.具备行政主管部门颁发的乙级及以上测绘资质。</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pStyle w:val="2"/>
        <w:rPr>
          <w:rFonts w:hint="default"/>
          <w:lang w:val="en-US" w:eastAsia="zh-CN"/>
        </w:rPr>
        <w:sectPr>
          <w:pgSz w:w="11906" w:h="16838"/>
          <w:pgMar w:top="1440" w:right="1417" w:bottom="1440" w:left="1417" w:header="851" w:footer="992" w:gutter="0"/>
          <w:cols w:space="425" w:num="1"/>
          <w:docGrid w:type="lines" w:linePitch="312" w:charSpace="0"/>
        </w:sect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(第五标段：地质勘察）</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4.具有行政主管部门颁发的工程勘察综合甲级资质或工程勘察专业丙级及以上资质。</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rPr>
          <w:rFonts w:hint="default"/>
          <w:lang w:val="en-US" w:eastAsia="zh-CN"/>
        </w:rPr>
        <w:sectPr>
          <w:pgSz w:w="11906" w:h="16838"/>
          <w:pgMar w:top="1440" w:right="1417" w:bottom="1440" w:left="1417" w:header="851" w:footer="992" w:gutter="0"/>
          <w:cols w:space="425" w:num="1"/>
          <w:docGrid w:type="lines" w:linePitch="312" w:charSpace="0"/>
        </w:sect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(第六标段：高边坡、深基坑变形监测）</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4.具有行政主管部门颁发的工程勘察综合甲级资质或工程勘察专业类(岩土工程)乙级及以上资质或工程勘察专业类（岩土工程物探测试检测监测）乙级及以上资质。</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rPr>
          <w:rFonts w:hint="default"/>
          <w:lang w:val="en-US" w:eastAsia="zh-CN"/>
        </w:r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(第七标段：高边坡、深基坑支护勘察设计）</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4.具有行政主管部门颁发的工程勘察综合甲级资质或工程勘察专业类(岩土工程)乙级及以上资质或工程勘察专业类(岩土工程勘察、岩土工程设计)乙级及以上资质。</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rPr>
          <w:rFonts w:hint="default"/>
          <w:lang w:val="en-US" w:eastAsia="zh-CN"/>
        </w:r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(第八标段：资产评估）</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4.具备财政部门出具的资产评估机构备案证明材料。</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pStyle w:val="2"/>
        <w:rPr>
          <w:rFonts w:hint="default"/>
          <w:lang w:val="en-US" w:eastAsia="zh-CN"/>
        </w:rPr>
        <w:sectPr>
          <w:pgSz w:w="11906" w:h="16838"/>
          <w:pgMar w:top="1440" w:right="1417" w:bottom="1440" w:left="1417" w:header="851" w:footer="992" w:gutter="0"/>
          <w:cols w:space="425" w:num="1"/>
          <w:docGrid w:type="lines" w:linePitch="312" w:charSpace="0"/>
        </w:sect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(第九标段：水土保持）</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rPr>
          <w:rFonts w:hint="default"/>
          <w:lang w:val="en-US" w:eastAsia="zh-CN"/>
        </w:rPr>
        <w:sectPr>
          <w:pgSz w:w="11906" w:h="16838"/>
          <w:pgMar w:top="1440" w:right="1417" w:bottom="1440" w:left="1417" w:header="851" w:footer="992" w:gutter="0"/>
          <w:cols w:space="425" w:num="1"/>
          <w:docGrid w:type="lines" w:linePitch="312" w:charSpace="0"/>
        </w:sect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(第十标段：财务审计）</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rPr>
          <w:rFonts w:hint="default"/>
          <w:lang w:val="en-US" w:eastAsia="zh-CN"/>
        </w:rPr>
      </w:pPr>
    </w:p>
    <w:p>
      <w:pPr>
        <w:pStyle w:val="2"/>
        <w:rPr>
          <w:rFonts w:hint="default"/>
          <w:lang w:val="en-US" w:eastAsia="zh-CN"/>
        </w:rPr>
        <w:sectPr>
          <w:pgSz w:w="11906" w:h="16838"/>
          <w:pgMar w:top="1440" w:right="1417" w:bottom="1440" w:left="1417" w:header="851" w:footer="992" w:gutter="0"/>
          <w:cols w:space="425" w:num="1"/>
          <w:docGrid w:type="lines" w:linePitch="312" w:charSpace="0"/>
        </w:sect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(第十一标段：环境影响评价）</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4.须在中华人民共和国生态环境部环境影响信用平台登记备案。</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rPr>
          <w:rFonts w:hint="default"/>
          <w:lang w:val="en-US" w:eastAsia="zh-CN"/>
        </w:rPr>
        <w:sectPr>
          <w:pgSz w:w="11906" w:h="16838"/>
          <w:pgMar w:top="1440" w:right="1417" w:bottom="1440" w:left="1417" w:header="851" w:footer="992" w:gutter="0"/>
          <w:cols w:space="425" w:num="1"/>
          <w:docGrid w:type="lines" w:linePitch="312" w:charSpace="0"/>
        </w:sect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(第十二标段：工程质量检测）</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4.具有行政主管部门颁发的工程质量检测机构资质，具备质量技术监督部门颁发的CMA计量认证合格证书，符合（鄂建办【2016】299 号）文件要求。</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pStyle w:val="2"/>
        <w:rPr>
          <w:rFonts w:hint="default"/>
          <w:lang w:val="en-US" w:eastAsia="zh-CN"/>
        </w:rPr>
        <w:sectPr>
          <w:pgSz w:w="11906" w:h="16838"/>
          <w:pgMar w:top="1440" w:right="1417" w:bottom="1440" w:left="1417" w:header="851" w:footer="992" w:gutter="0"/>
          <w:cols w:space="425" w:num="1"/>
          <w:docGrid w:type="lines" w:linePitch="312" w:charSpace="0"/>
        </w:sectPr>
      </w:pPr>
    </w:p>
    <w:p>
      <w:pPr>
        <w:spacing w:line="240" w:lineRule="atLeast"/>
        <w:ind w:right="-65" w:rightChars="-31"/>
        <w:jc w:val="center"/>
        <w:rPr>
          <w:rFonts w:hint="default"/>
          <w:b/>
          <w:bCs/>
          <w:sz w:val="32"/>
          <w:szCs w:val="32"/>
          <w:lang w:val="en-US" w:eastAsia="zh-CN"/>
        </w:rPr>
      </w:pPr>
      <w:r>
        <w:rPr>
          <w:rFonts w:hint="eastAsia"/>
          <w:b/>
          <w:bCs/>
          <w:sz w:val="32"/>
          <w:szCs w:val="32"/>
          <w:lang w:val="en-US" w:eastAsia="zh-CN"/>
        </w:rPr>
        <w:t>报名登记表</w:t>
      </w:r>
    </w:p>
    <w:tbl>
      <w:tblPr>
        <w:tblStyle w:val="14"/>
        <w:tblpPr w:leftFromText="180" w:rightFromText="180" w:vertAnchor="page" w:horzAnchor="page" w:tblpX="1500" w:tblpY="250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673"/>
        <w:gridCol w:w="2952"/>
        <w:gridCol w:w="1235"/>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1"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50" w:type="pct"/>
            <w:gridSpan w:val="2"/>
            <w:noWrap w:val="0"/>
            <w:vAlign w:val="center"/>
          </w:tcPr>
          <w:p>
            <w:pP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2024年中介服务机构遴选建库</w:t>
            </w:r>
            <w:r>
              <w:rPr>
                <w:rFonts w:hint="eastAsia" w:ascii="宋体" w:hAnsi="宋体" w:cs="宋体"/>
                <w:sz w:val="24"/>
                <w:szCs w:val="24"/>
                <w:u w:val="none"/>
                <w:lang w:val="en-US" w:eastAsia="zh-CN"/>
              </w:rPr>
              <w:t>(第十三标段：保险）</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3"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50"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宣恩城市发展集团有限公司</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3"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91"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08"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08"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4.具备中国保险监督管理委员会颁发的《中华人民共和国经营保险业务许可证》。</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2024年05月10日至2024年05月15日，每天上午08:30至12:00，下午14:30至17:30（北京时间，法定节假日除外）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08"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88"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3"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3"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88" w:type="pct"/>
            <w:vMerge w:val="continue"/>
            <w:noWrap w:val="0"/>
            <w:vAlign w:val="center"/>
          </w:tcPr>
          <w:p>
            <w:pPr>
              <w:spacing w:line="360" w:lineRule="auto"/>
              <w:jc w:val="center"/>
              <w:rPr>
                <w:rFonts w:hint="eastAsia" w:ascii="宋体" w:hAnsi="宋体" w:eastAsia="宋体" w:cs="宋体"/>
                <w:sz w:val="24"/>
                <w:szCs w:val="24"/>
              </w:rPr>
            </w:pPr>
          </w:p>
        </w:tc>
        <w:tc>
          <w:tcPr>
            <w:tcW w:w="664"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3"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91"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08" w:type="pct"/>
            <w:gridSpan w:val="2"/>
            <w:noWrap w:val="0"/>
            <w:vAlign w:val="center"/>
          </w:tcPr>
          <w:p>
            <w:pPr>
              <w:spacing w:line="360" w:lineRule="auto"/>
              <w:jc w:val="both"/>
              <w:rPr>
                <w:rFonts w:hint="eastAsia" w:ascii="宋体" w:hAnsi="宋体" w:eastAsia="宋体" w:cs="宋体"/>
                <w:sz w:val="24"/>
                <w:szCs w:val="24"/>
              </w:rPr>
            </w:pPr>
          </w:p>
        </w:tc>
      </w:tr>
    </w:tbl>
    <w:p>
      <w:pPr>
        <w:rPr>
          <w:rFonts w:hint="default"/>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14D252D"/>
    <w:rsid w:val="04697A1A"/>
    <w:rsid w:val="04922734"/>
    <w:rsid w:val="053718C6"/>
    <w:rsid w:val="05FD1677"/>
    <w:rsid w:val="065A2F1F"/>
    <w:rsid w:val="0840356C"/>
    <w:rsid w:val="086D2B07"/>
    <w:rsid w:val="0A264E6D"/>
    <w:rsid w:val="0D3803A0"/>
    <w:rsid w:val="0DAE298D"/>
    <w:rsid w:val="0E260CEA"/>
    <w:rsid w:val="0FC85498"/>
    <w:rsid w:val="10C265C0"/>
    <w:rsid w:val="12BE3627"/>
    <w:rsid w:val="14793874"/>
    <w:rsid w:val="151A70C1"/>
    <w:rsid w:val="1542409B"/>
    <w:rsid w:val="161377CC"/>
    <w:rsid w:val="163A1A33"/>
    <w:rsid w:val="17064769"/>
    <w:rsid w:val="17DE3FCA"/>
    <w:rsid w:val="1939085D"/>
    <w:rsid w:val="19C21175"/>
    <w:rsid w:val="1A7A2B28"/>
    <w:rsid w:val="1B484046"/>
    <w:rsid w:val="1B5325CB"/>
    <w:rsid w:val="1B606886"/>
    <w:rsid w:val="1C451A05"/>
    <w:rsid w:val="1CA15522"/>
    <w:rsid w:val="1CEC3A88"/>
    <w:rsid w:val="1E5022C0"/>
    <w:rsid w:val="1F6D1E08"/>
    <w:rsid w:val="20ED7FD0"/>
    <w:rsid w:val="20F070A1"/>
    <w:rsid w:val="22E02C22"/>
    <w:rsid w:val="248C4220"/>
    <w:rsid w:val="25823737"/>
    <w:rsid w:val="2AB234BA"/>
    <w:rsid w:val="2D7746A6"/>
    <w:rsid w:val="2DF500E3"/>
    <w:rsid w:val="2EAA0704"/>
    <w:rsid w:val="300817E5"/>
    <w:rsid w:val="31C0710C"/>
    <w:rsid w:val="32850B47"/>
    <w:rsid w:val="342F1F37"/>
    <w:rsid w:val="348356B6"/>
    <w:rsid w:val="3743288F"/>
    <w:rsid w:val="3A08348C"/>
    <w:rsid w:val="3CD20775"/>
    <w:rsid w:val="3DEE4511"/>
    <w:rsid w:val="41B1501E"/>
    <w:rsid w:val="41BF1073"/>
    <w:rsid w:val="42621029"/>
    <w:rsid w:val="44DC4E79"/>
    <w:rsid w:val="49382C4E"/>
    <w:rsid w:val="49522D5E"/>
    <w:rsid w:val="4C240499"/>
    <w:rsid w:val="4CFA5D19"/>
    <w:rsid w:val="4DEB45C9"/>
    <w:rsid w:val="4DF004C4"/>
    <w:rsid w:val="4EE13D54"/>
    <w:rsid w:val="4FB57E74"/>
    <w:rsid w:val="4FCA7759"/>
    <w:rsid w:val="4FCC26D3"/>
    <w:rsid w:val="5117209E"/>
    <w:rsid w:val="51AA55CD"/>
    <w:rsid w:val="53922828"/>
    <w:rsid w:val="550A387F"/>
    <w:rsid w:val="5D8D36EA"/>
    <w:rsid w:val="5E011190"/>
    <w:rsid w:val="5E2403FF"/>
    <w:rsid w:val="5F6A0AB4"/>
    <w:rsid w:val="66BB0B84"/>
    <w:rsid w:val="67BA23A8"/>
    <w:rsid w:val="67CB0AF2"/>
    <w:rsid w:val="680B697D"/>
    <w:rsid w:val="692B17B3"/>
    <w:rsid w:val="6A9F4D00"/>
    <w:rsid w:val="6B0E04B9"/>
    <w:rsid w:val="6C5A2669"/>
    <w:rsid w:val="6FB40867"/>
    <w:rsid w:val="6FC54822"/>
    <w:rsid w:val="6FEF189F"/>
    <w:rsid w:val="71166819"/>
    <w:rsid w:val="7123505E"/>
    <w:rsid w:val="74744A68"/>
    <w:rsid w:val="748C3FCE"/>
    <w:rsid w:val="74994E47"/>
    <w:rsid w:val="7513490C"/>
    <w:rsid w:val="757E794D"/>
    <w:rsid w:val="75C82572"/>
    <w:rsid w:val="79F540E4"/>
    <w:rsid w:val="7AD40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2"/>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500</Words>
  <Characters>542</Characters>
  <Lines>0</Lines>
  <Paragraphs>0</Paragraphs>
  <TotalTime>0</TotalTime>
  <ScaleCrop>false</ScaleCrop>
  <LinksUpToDate>false</LinksUpToDate>
  <CharactersWithSpaces>651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2024-05-09T09:38:11Z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FE7DAB4150F744B2A5D25CC4D1896379</vt:lpwstr>
  </property>
</Properties>
</file>